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D400" w14:textId="77777777" w:rsidR="00DC619E" w:rsidRDefault="00DC619E" w:rsidP="00DC619E">
      <w:pPr>
        <w:pStyle w:val="ConsPlusTitle"/>
        <w:spacing w:line="312" w:lineRule="auto"/>
        <w:jc w:val="center"/>
        <w:rPr>
          <w:rFonts w:ascii="Times New Roman" w:hAnsi="Times New Roman" w:cs="Times New Roman"/>
        </w:rPr>
      </w:pPr>
      <w:bookmarkStart w:id="0" w:name="Par39"/>
      <w:bookmarkEnd w:id="0"/>
      <w:r>
        <w:rPr>
          <w:rFonts w:ascii="Times New Roman" w:hAnsi="Times New Roman" w:cs="Times New Roman"/>
        </w:rPr>
        <w:t>ПОЛОЖЕНИЕ</w:t>
      </w:r>
    </w:p>
    <w:p w14:paraId="5F1BC171" w14:textId="77777777" w:rsidR="00DC619E" w:rsidRDefault="00DC619E" w:rsidP="00DC619E">
      <w:pPr>
        <w:pStyle w:val="ConsPlusTitle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РЕСПУБЛИКАНСКОМ ОБЩЕСТВЕННОМ КОНКУРСЕ</w:t>
      </w:r>
    </w:p>
    <w:p w14:paraId="46D8E3CB" w14:textId="77777777" w:rsidR="00DC619E" w:rsidRDefault="00DC619E" w:rsidP="00DC619E">
      <w:pPr>
        <w:pStyle w:val="ConsPlusTitle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"РУКОВОДИТЕЛЬ ГОДА"</w:t>
      </w:r>
    </w:p>
    <w:p w14:paraId="09A7B120" w14:textId="77777777" w:rsidR="00DC619E" w:rsidRDefault="00DC619E" w:rsidP="00DC619E">
      <w:pPr>
        <w:pStyle w:val="ConsPlusNormal"/>
        <w:spacing w:line="312" w:lineRule="auto"/>
        <w:jc w:val="both"/>
      </w:pPr>
    </w:p>
    <w:p w14:paraId="0142CBF4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Цель конкурса</w:t>
      </w:r>
    </w:p>
    <w:p w14:paraId="7A97135F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Республиканский общественный конкурс "Руководитель года" (далее - конкурс) проводится ежегодно в соответствии с Указом Президента Республики Татарстан от 26.02.2002 N УП-121 "О Республиканском общественном конкурсе "Руководитель года" в целях обеспечения общественного признания, поощрения и распространения положительного опыта лучших руководителей предприятий и организаций, добившихся высоких результатов в своей работе и внесших заметный вклад в решение задач социально-экономического развития республики.</w:t>
      </w:r>
    </w:p>
    <w:p w14:paraId="10CF2B83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Участники конкурса</w:t>
      </w:r>
    </w:p>
    <w:p w14:paraId="76C4F350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Участниками (номинантами) конкурса могут быть руководители (председатели советов директоров, председатели правлений, генеральные директора, директора, управляющие и т.п.) предприятий и организаций различных отраслей и сфер экономики. Участниками конкурса не могут быть лица, становившиеся лауреатами конкурсов в предыдущие три года.</w:t>
      </w:r>
    </w:p>
    <w:p w14:paraId="7CB74323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</w:p>
    <w:p w14:paraId="1D979851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Управление организацией и проведением конкурса</w:t>
      </w:r>
    </w:p>
    <w:p w14:paraId="5BBB25FA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Общее руководство организацией и проведением конкурса, утверждение перечня номинаций и соответствующих показателей деятельности, по которым будут подводиться итоги конкурса, принятие решения о лауреатах осуществляет Конкурсная комиссия, образованная Указом Президента Республики Татарстан от 26.02.2002 N УП-121 "О Республиканском общественном конкурсе "Руководитель года".</w:t>
      </w:r>
    </w:p>
    <w:p w14:paraId="35ACDDC2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Организационно-техническое обеспечение проведения конкурса выполняет организация, которой в соответствии с Порядком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"Руководитель года" предоставлена субсидия на организацию и проведение конкурса (далее - Организация). Организация обеспечивает:</w:t>
      </w:r>
    </w:p>
    <w:p w14:paraId="43C43192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информирование республиканских органов исполнительной власти, глав муниципальных районов и городских округов, объединений работодателей и профессиональных союзов об утверждении Конкурсной комиссией перечня номинаций и показателей деятельности, по которым будут подводиться итоги конкурса, и о необходимости представления ими предложений по участникам конкурса;</w:t>
      </w:r>
    </w:p>
    <w:p w14:paraId="58AE7C90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сбор, подготовку (проверку полноты, уточнение и дополнение) и представление материалов по участникам конкурса в Конкурсную комиссию;</w:t>
      </w:r>
    </w:p>
    <w:p w14:paraId="38ED87F0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разработку и изготовление наградных знаков и дипломов;</w:t>
      </w:r>
    </w:p>
    <w:p w14:paraId="0B84E40C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подготовку и проведение торжественной церемонии награждения лауреатов конкурса;</w:t>
      </w:r>
    </w:p>
    <w:p w14:paraId="042D5C62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издание памятной книги по итогам конкурса;</w:t>
      </w:r>
    </w:p>
    <w:p w14:paraId="5B3DBBAB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создание и поддержку сайта конкурса.</w:t>
      </w:r>
    </w:p>
    <w:p w14:paraId="6A55856E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</w:p>
    <w:p w14:paraId="6DECC5E5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Финансирование конкурса</w:t>
      </w:r>
    </w:p>
    <w:p w14:paraId="2F70C27A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 xml:space="preserve">Финансирование организации и проведения конкурса осуществляется за счет средств </w:t>
      </w:r>
      <w:r>
        <w:lastRenderedPageBreak/>
        <w:t>бюджета Республики Татарстан.</w:t>
      </w:r>
    </w:p>
    <w:p w14:paraId="13E18589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</w:p>
    <w:p w14:paraId="4DCC899F" w14:textId="77777777" w:rsidR="00DC619E" w:rsidRDefault="00DC619E" w:rsidP="00DC619E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Регламент проведения конкурса</w:t>
      </w:r>
    </w:p>
    <w:p w14:paraId="3AC88316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Министерство экономики Республики Татарстан совместно с Организацией при участии республиканских органов исполнительной власти ежегодно, до 30 апреля, разрабатывает и представляет на утверждение председателю Конкурсной комиссии перечень номинаций и показателей деятельности, отражающих наиболее актуальные направления социально-экономического развития республики.</w:t>
      </w:r>
    </w:p>
    <w:p w14:paraId="3959B32B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</w:p>
    <w:p w14:paraId="413B39BC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Председатель Конкурсной комиссии ежегодно, до 1 июня, рассматривает и утверждает перечень номинаций и показателей деятельности, по которым будут подводиться итоги конкурса.</w:t>
      </w:r>
    </w:p>
    <w:p w14:paraId="1822B538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Организация ежегодно, до 30 июня, информирует руководителей республиканских органов исполнительной власти, глав муниципальных районов и городских округов, объединений работодателей и профессиональных союзов об утверждении Конкурсной комиссией перечня номинаций и показателей деятельности, по которым будут подводиться итоги конкурса, и о необходимости представления ими предложений об участниках конкурса.</w:t>
      </w:r>
    </w:p>
    <w:p w14:paraId="068EE99B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Республиканские органы исполнительной власти, главы муниципальных районов и городских округов, объединения работодателей и профессиональные союзы Республики Татарстан ежегодно, до 10 октября, представляют Организации не более трех предложений об участниках конкурса в каждую номинацию, а Министерство цифрового развития государственного управления, информационных технологий и связи Республики Татарстан, Министерство сельского хозяйства и продовольствия Республики Татарстан, Министерство строительства, архитектуры и жилищно-коммунального хозяйства Республики Татарстан, Министерство транспорта и дорожного хозяйства Республики Татарстан, Министерство промышленности и торговли Республики Татарстан - не более трех, но не менее одного предложения об участнике конкурса в каждую номинацию с соответствующими материалами, в том числе:</w:t>
      </w:r>
    </w:p>
    <w:p w14:paraId="33A4A4FE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справку об участнике конкурса;</w:t>
      </w:r>
    </w:p>
    <w:p w14:paraId="4E5A7B44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справку о предприятии (организации), возглавляемом участником конкурса;</w:t>
      </w:r>
    </w:p>
    <w:p w14:paraId="0037B520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показатели деятельности предприятия (организации), возглавляемого участником конкурса, соотносящиеся номинации, по которой выдвинут участник;</w:t>
      </w:r>
    </w:p>
    <w:p w14:paraId="742C42CC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краткое обоснование (объемом 0,5 машинописного листа) выдвижения участника на конкурс по данной номинации.</w:t>
      </w:r>
    </w:p>
    <w:p w14:paraId="610B7276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Ежегодно, до 15 ноября:</w:t>
      </w:r>
    </w:p>
    <w:p w14:paraId="0F3305BE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Организация осуществляет проверку полноты, уточнение и дополнение представленных материалов, формирует список участников (номинантов) конкурса;</w:t>
      </w:r>
    </w:p>
    <w:p w14:paraId="336FFA94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Территориальный орган Федеральной службы государственной статистики по Республике Татарстан определяет рейтинг предприятий и организаций (по видам экономической деятельности), включая предприятия и организации, возглавляемые участниками (номинантами) конкурса, и направляет его в адрес Организации.</w:t>
      </w:r>
    </w:p>
    <w:p w14:paraId="69ECCE37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 xml:space="preserve">Организация ежегодно, до 25 ноября, производит обработку, систематизацию и дополнительный сбор недостающих материалов об участниках (номинантах) конкурса с учетом </w:t>
      </w:r>
      <w:r>
        <w:lastRenderedPageBreak/>
        <w:t>рейтинговой оценки, представленной Территориальным органом Федеральной службы государственной статистики по Республике Татарстан.</w:t>
      </w:r>
    </w:p>
    <w:p w14:paraId="3CAFF4A3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Конкурсная комиссия ежегодно, до 5 декабря, проводит предварительное заседание по рассмотрению перечня номинантов конкурса, на котором дается экспертная оценка представленных предложений.</w:t>
      </w:r>
    </w:p>
    <w:p w14:paraId="4548F731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Организация ежегодно, до 10 декабря, совместно с Министерством экономики Республики Татарстан формирует предложения о кандидатурах на звание лауреатов конкурса для представления председателю Конкурсной комиссии.</w:t>
      </w:r>
    </w:p>
    <w:p w14:paraId="1B3FF4CF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Конкурсная комиссия ежегодно, до 15 декабря:</w:t>
      </w:r>
    </w:p>
    <w:p w14:paraId="7F9F7326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проводит заседание по рассмотрению представленных материалов об участниках конкурса и предложений о кандидатурах на звание лауреата конкурса;</w:t>
      </w:r>
    </w:p>
    <w:p w14:paraId="231183B9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принимает решение о лауреатах конкурса путем открытого голосования большинством голосов членов Конкурсной комиссии, присутствующих на заседании.</w:t>
      </w:r>
    </w:p>
    <w:p w14:paraId="71F7210D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Заседание Конкурсной комиссия является правомочным, если на нем присутствуют не менее двух третей ее членов.</w:t>
      </w:r>
    </w:p>
    <w:p w14:paraId="30BBEF8D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При равном количестве голосов голос председателя Конкурсной комиссии является решающим.</w:t>
      </w:r>
    </w:p>
    <w:p w14:paraId="34E1C991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При этом лауреатами конкурса в каждой номинации определяются, как правило, два, но не более трех руководителей предприятий и организаций различных отраслей и сфер экономики.</w:t>
      </w:r>
    </w:p>
    <w:p w14:paraId="54FE953E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Ежегодно, в третьей декаде декабря, проводится торжественная церемония награждения лауреатов конкурса при участии Раиса Республики Татарстан и представителей органов государственной власти Республики Татарстан, территориальных органов федеральных органов исполнительной власти, муниципальных образований, объединений работодателей, профессиональных союзов, научных организаций и объединений, известных промышленников и предпринимателей, представителей средств массовой информации.</w:t>
      </w:r>
    </w:p>
    <w:p w14:paraId="45B055FF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Итоги конкурса освещаются в средствах массовой информации.</w:t>
      </w:r>
    </w:p>
    <w:p w14:paraId="18DFF5C0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  <w:r>
        <w:t>По итогам конкурса ежегодно издается памятная книга, которая направляется в республиканские органы исполнительной власти, муниципальные образования, объединения работодателей и профессиональные союзы, в Национальную библиотеку Республики Татарстан, а также вручается каждому лауреату конкурса.</w:t>
      </w:r>
    </w:p>
    <w:p w14:paraId="62E37F9E" w14:textId="77777777" w:rsidR="00DC619E" w:rsidRDefault="00DC619E" w:rsidP="00DC619E">
      <w:pPr>
        <w:pStyle w:val="ConsPlusNormal"/>
        <w:spacing w:line="312" w:lineRule="auto"/>
        <w:ind w:firstLine="720"/>
        <w:jc w:val="both"/>
      </w:pPr>
    </w:p>
    <w:p w14:paraId="4CA3CB6E" w14:textId="77777777" w:rsidR="00DC619E" w:rsidRDefault="00DC619E" w:rsidP="00DC619E">
      <w:pPr>
        <w:pStyle w:val="ab"/>
        <w:spacing w:before="0" w:beforeAutospacing="0" w:after="0" w:afterAutospacing="0" w:line="312" w:lineRule="auto"/>
        <w:ind w:firstLine="720"/>
        <w:jc w:val="right"/>
        <w:rPr>
          <w:color w:val="000000"/>
        </w:rPr>
      </w:pPr>
      <w:r>
        <w:rPr>
          <w:color w:val="000000"/>
        </w:rPr>
        <w:t>Утверждено постановлением</w:t>
      </w:r>
    </w:p>
    <w:p w14:paraId="42C01E8A" w14:textId="77777777" w:rsidR="00DC619E" w:rsidRDefault="00DC619E" w:rsidP="00DC619E">
      <w:pPr>
        <w:pStyle w:val="ab"/>
        <w:spacing w:before="0" w:beforeAutospacing="0" w:after="0" w:afterAutospacing="0" w:line="312" w:lineRule="auto"/>
        <w:ind w:firstLine="720"/>
        <w:jc w:val="right"/>
        <w:rPr>
          <w:color w:val="000000"/>
        </w:rPr>
      </w:pPr>
      <w:r>
        <w:rPr>
          <w:color w:val="000000"/>
        </w:rPr>
        <w:t>Кабинета Министров Республики Татарстан</w:t>
      </w:r>
    </w:p>
    <w:p w14:paraId="5F607D55" w14:textId="77777777" w:rsidR="00DC619E" w:rsidRDefault="00DC619E" w:rsidP="00DC619E">
      <w:pPr>
        <w:pStyle w:val="ab"/>
        <w:spacing w:before="0" w:beforeAutospacing="0" w:after="0" w:afterAutospacing="0" w:line="312" w:lineRule="auto"/>
        <w:ind w:firstLine="720"/>
        <w:jc w:val="right"/>
        <w:rPr>
          <w:color w:val="000000"/>
        </w:rPr>
      </w:pPr>
      <w:r>
        <w:rPr>
          <w:color w:val="000000"/>
        </w:rPr>
        <w:t>от 29.03.2002 № 161</w:t>
      </w:r>
    </w:p>
    <w:p w14:paraId="13B5009F" w14:textId="77777777" w:rsidR="00DC619E" w:rsidRDefault="00DC619E" w:rsidP="00DC619E">
      <w:pPr>
        <w:pStyle w:val="ab"/>
        <w:spacing w:before="0" w:beforeAutospacing="0" w:after="0" w:afterAutospacing="0" w:line="312" w:lineRule="auto"/>
        <w:ind w:firstLine="720"/>
        <w:jc w:val="right"/>
        <w:rPr>
          <w:color w:val="392C69"/>
        </w:rPr>
      </w:pPr>
      <w:r>
        <w:rPr>
          <w:color w:val="000000"/>
        </w:rPr>
        <w:t xml:space="preserve"> </w:t>
      </w:r>
      <w:r>
        <w:rPr>
          <w:color w:val="392C69"/>
        </w:rPr>
        <w:t xml:space="preserve">(в редакции постановлений Кабинета Министров Республики Татарстан </w:t>
      </w:r>
    </w:p>
    <w:p w14:paraId="21E585F7" w14:textId="77777777" w:rsidR="00DC619E" w:rsidRDefault="00DC619E" w:rsidP="00DC619E">
      <w:pPr>
        <w:pStyle w:val="ab"/>
        <w:spacing w:before="0" w:beforeAutospacing="0" w:after="0" w:afterAutospacing="0" w:line="312" w:lineRule="auto"/>
        <w:ind w:firstLine="720"/>
        <w:jc w:val="right"/>
        <w:rPr>
          <w:color w:val="392C69"/>
        </w:rPr>
      </w:pPr>
      <w:r>
        <w:rPr>
          <w:color w:val="392C69"/>
        </w:rPr>
        <w:t xml:space="preserve">от 25.07.2011 </w:t>
      </w:r>
      <w:hyperlink r:id="rId8" w:history="1">
        <w:r>
          <w:rPr>
            <w:rStyle w:val="aa"/>
          </w:rPr>
          <w:t>N 579</w:t>
        </w:r>
      </w:hyperlink>
      <w:r>
        <w:rPr>
          <w:color w:val="392C69"/>
        </w:rPr>
        <w:t xml:space="preserve">, от 21.07.2014 </w:t>
      </w:r>
      <w:hyperlink r:id="rId9" w:history="1">
        <w:r>
          <w:rPr>
            <w:rStyle w:val="aa"/>
          </w:rPr>
          <w:t>N 520</w:t>
        </w:r>
      </w:hyperlink>
      <w:r>
        <w:rPr>
          <w:color w:val="392C69"/>
        </w:rPr>
        <w:t xml:space="preserve">, от 01.06.2015 </w:t>
      </w:r>
      <w:hyperlink r:id="rId10" w:history="1">
        <w:r>
          <w:rPr>
            <w:rStyle w:val="aa"/>
          </w:rPr>
          <w:t>N 393</w:t>
        </w:r>
      </w:hyperlink>
      <w:r>
        <w:rPr>
          <w:color w:val="392C69"/>
        </w:rPr>
        <w:t xml:space="preserve">, от 14.06.2018 </w:t>
      </w:r>
      <w:hyperlink r:id="rId11" w:history="1">
        <w:r>
          <w:rPr>
            <w:rStyle w:val="aa"/>
          </w:rPr>
          <w:t>N 480</w:t>
        </w:r>
      </w:hyperlink>
      <w:r>
        <w:rPr>
          <w:color w:val="392C69"/>
        </w:rPr>
        <w:t>,</w:t>
      </w:r>
    </w:p>
    <w:p w14:paraId="7D512307" w14:textId="77777777" w:rsidR="00DC619E" w:rsidRDefault="00DC619E" w:rsidP="00DC619E">
      <w:pPr>
        <w:pStyle w:val="ConsPlusNormal"/>
        <w:spacing w:line="312" w:lineRule="auto"/>
        <w:ind w:firstLine="720"/>
        <w:jc w:val="right"/>
        <w:rPr>
          <w:color w:val="392C69"/>
        </w:rPr>
      </w:pPr>
      <w:r>
        <w:rPr>
          <w:color w:val="392C69"/>
        </w:rPr>
        <w:t xml:space="preserve">от 29.09.2018 </w:t>
      </w:r>
      <w:hyperlink r:id="rId12" w:history="1">
        <w:r>
          <w:rPr>
            <w:rStyle w:val="aa"/>
          </w:rPr>
          <w:t>N 887</w:t>
        </w:r>
      </w:hyperlink>
      <w:r>
        <w:rPr>
          <w:color w:val="392C69"/>
        </w:rPr>
        <w:t xml:space="preserve">, от 30.10.2020 </w:t>
      </w:r>
      <w:hyperlink r:id="rId13" w:history="1">
        <w:r>
          <w:rPr>
            <w:rStyle w:val="aa"/>
          </w:rPr>
          <w:t>N 973</w:t>
        </w:r>
      </w:hyperlink>
      <w:r>
        <w:rPr>
          <w:color w:val="392C69"/>
        </w:rPr>
        <w:t xml:space="preserve">, от 30.03.2023 </w:t>
      </w:r>
      <w:hyperlink r:id="rId14" w:history="1">
        <w:r>
          <w:rPr>
            <w:rStyle w:val="aa"/>
          </w:rPr>
          <w:t>N 378</w:t>
        </w:r>
      </w:hyperlink>
      <w:r>
        <w:rPr>
          <w:color w:val="392C69"/>
        </w:rPr>
        <w:t xml:space="preserve">, от 08.07.2023 </w:t>
      </w:r>
      <w:hyperlink r:id="rId15" w:history="1">
        <w:r>
          <w:rPr>
            <w:rStyle w:val="aa"/>
          </w:rPr>
          <w:t>N 801</w:t>
        </w:r>
      </w:hyperlink>
      <w:r>
        <w:rPr>
          <w:color w:val="392C69"/>
        </w:rPr>
        <w:t>)</w:t>
      </w:r>
    </w:p>
    <w:sectPr w:rsidR="00DC619E" w:rsidSect="00C659D0">
      <w:headerReference w:type="default" r:id="rId16"/>
      <w:pgSz w:w="11906" w:h="16838"/>
      <w:pgMar w:top="1134" w:right="5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40A4" w14:textId="77777777" w:rsidR="00C659D0" w:rsidRDefault="00C659D0" w:rsidP="002E6339">
      <w:r>
        <w:separator/>
      </w:r>
    </w:p>
  </w:endnote>
  <w:endnote w:type="continuationSeparator" w:id="0">
    <w:p w14:paraId="41361C79" w14:textId="77777777" w:rsidR="00C659D0" w:rsidRDefault="00C659D0" w:rsidP="002E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872D" w14:textId="77777777" w:rsidR="00C659D0" w:rsidRDefault="00C659D0" w:rsidP="002E6339">
      <w:r>
        <w:separator/>
      </w:r>
    </w:p>
  </w:footnote>
  <w:footnote w:type="continuationSeparator" w:id="0">
    <w:p w14:paraId="08A14272" w14:textId="77777777" w:rsidR="00C659D0" w:rsidRDefault="00C659D0" w:rsidP="002E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788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576ADE" w14:textId="77777777" w:rsidR="002E6339" w:rsidRPr="002E6339" w:rsidRDefault="000D051D">
        <w:pPr>
          <w:pStyle w:val="a4"/>
          <w:jc w:val="center"/>
          <w:rPr>
            <w:sz w:val="28"/>
            <w:szCs w:val="28"/>
          </w:rPr>
        </w:pPr>
        <w:r w:rsidRPr="002E6339">
          <w:rPr>
            <w:sz w:val="28"/>
            <w:szCs w:val="28"/>
          </w:rPr>
          <w:fldChar w:fldCharType="begin"/>
        </w:r>
        <w:r w:rsidR="002E6339" w:rsidRPr="002E6339">
          <w:rPr>
            <w:sz w:val="28"/>
            <w:szCs w:val="28"/>
          </w:rPr>
          <w:instrText xml:space="preserve"> PAGE   \* MERGEFORMAT </w:instrText>
        </w:r>
        <w:r w:rsidRPr="002E6339">
          <w:rPr>
            <w:sz w:val="28"/>
            <w:szCs w:val="28"/>
          </w:rPr>
          <w:fldChar w:fldCharType="separate"/>
        </w:r>
        <w:r w:rsidR="00A22951">
          <w:rPr>
            <w:noProof/>
            <w:sz w:val="28"/>
            <w:szCs w:val="28"/>
          </w:rPr>
          <w:t>3</w:t>
        </w:r>
        <w:r w:rsidRPr="002E6339">
          <w:rPr>
            <w:sz w:val="28"/>
            <w:szCs w:val="28"/>
          </w:rPr>
          <w:fldChar w:fldCharType="end"/>
        </w:r>
      </w:p>
    </w:sdtContent>
  </w:sdt>
  <w:p w14:paraId="5AABA9C8" w14:textId="77777777" w:rsidR="002E6339" w:rsidRDefault="002E63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BAA"/>
    <w:multiLevelType w:val="singleLevel"/>
    <w:tmpl w:val="9C001F42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C838D7"/>
    <w:multiLevelType w:val="singleLevel"/>
    <w:tmpl w:val="AA6A58A6"/>
    <w:lvl w:ilvl="0">
      <w:start w:val="5"/>
      <w:numFmt w:val="decimal"/>
      <w:lvlText w:val="5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77688C"/>
    <w:multiLevelType w:val="hybridMultilevel"/>
    <w:tmpl w:val="6FE03FB8"/>
    <w:lvl w:ilvl="0" w:tplc="502E4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93984">
    <w:abstractNumId w:val="0"/>
  </w:num>
  <w:num w:numId="2" w16cid:durableId="1477607052">
    <w:abstractNumId w:val="1"/>
  </w:num>
  <w:num w:numId="3" w16cid:durableId="106981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F5"/>
    <w:rsid w:val="00001EE0"/>
    <w:rsid w:val="00010A77"/>
    <w:rsid w:val="00013B45"/>
    <w:rsid w:val="00014502"/>
    <w:rsid w:val="00055CC9"/>
    <w:rsid w:val="00063C02"/>
    <w:rsid w:val="00065EF6"/>
    <w:rsid w:val="00071D6A"/>
    <w:rsid w:val="00072265"/>
    <w:rsid w:val="00072A0B"/>
    <w:rsid w:val="00075546"/>
    <w:rsid w:val="000A2234"/>
    <w:rsid w:val="000D051D"/>
    <w:rsid w:val="000E03E2"/>
    <w:rsid w:val="000F04C5"/>
    <w:rsid w:val="000F43BB"/>
    <w:rsid w:val="000F474F"/>
    <w:rsid w:val="00102295"/>
    <w:rsid w:val="001174B2"/>
    <w:rsid w:val="00141ED0"/>
    <w:rsid w:val="0016468F"/>
    <w:rsid w:val="00190A51"/>
    <w:rsid w:val="001C010B"/>
    <w:rsid w:val="001D30F9"/>
    <w:rsid w:val="001D3FF9"/>
    <w:rsid w:val="001E7E29"/>
    <w:rsid w:val="00225EF8"/>
    <w:rsid w:val="002449F4"/>
    <w:rsid w:val="00244A7A"/>
    <w:rsid w:val="00247EDD"/>
    <w:rsid w:val="002505D3"/>
    <w:rsid w:val="00251403"/>
    <w:rsid w:val="00253ACA"/>
    <w:rsid w:val="0026236A"/>
    <w:rsid w:val="0026492A"/>
    <w:rsid w:val="00280367"/>
    <w:rsid w:val="00292021"/>
    <w:rsid w:val="002A678E"/>
    <w:rsid w:val="002E1C9D"/>
    <w:rsid w:val="002E46CF"/>
    <w:rsid w:val="002E6339"/>
    <w:rsid w:val="00303396"/>
    <w:rsid w:val="0033396C"/>
    <w:rsid w:val="00335550"/>
    <w:rsid w:val="0034649B"/>
    <w:rsid w:val="0036341F"/>
    <w:rsid w:val="00370222"/>
    <w:rsid w:val="00387111"/>
    <w:rsid w:val="00392D12"/>
    <w:rsid w:val="003961CD"/>
    <w:rsid w:val="003B1783"/>
    <w:rsid w:val="003C3A17"/>
    <w:rsid w:val="003F52DD"/>
    <w:rsid w:val="00413CC7"/>
    <w:rsid w:val="004305E4"/>
    <w:rsid w:val="004358AA"/>
    <w:rsid w:val="00442122"/>
    <w:rsid w:val="00442BD2"/>
    <w:rsid w:val="00454CB9"/>
    <w:rsid w:val="00465722"/>
    <w:rsid w:val="00486C1C"/>
    <w:rsid w:val="00492C4A"/>
    <w:rsid w:val="00494B83"/>
    <w:rsid w:val="004A53D2"/>
    <w:rsid w:val="004A6B89"/>
    <w:rsid w:val="004D2B99"/>
    <w:rsid w:val="004D5F6B"/>
    <w:rsid w:val="004F7280"/>
    <w:rsid w:val="004F7890"/>
    <w:rsid w:val="00536429"/>
    <w:rsid w:val="00562957"/>
    <w:rsid w:val="00565314"/>
    <w:rsid w:val="00573918"/>
    <w:rsid w:val="0058203D"/>
    <w:rsid w:val="005855B0"/>
    <w:rsid w:val="005C11D6"/>
    <w:rsid w:val="00604F5A"/>
    <w:rsid w:val="006238F5"/>
    <w:rsid w:val="006244D2"/>
    <w:rsid w:val="0062532F"/>
    <w:rsid w:val="00630209"/>
    <w:rsid w:val="00635C80"/>
    <w:rsid w:val="0065419A"/>
    <w:rsid w:val="00656DD5"/>
    <w:rsid w:val="0066121D"/>
    <w:rsid w:val="00672084"/>
    <w:rsid w:val="00676E17"/>
    <w:rsid w:val="00691FB0"/>
    <w:rsid w:val="006D22E6"/>
    <w:rsid w:val="006E7574"/>
    <w:rsid w:val="006F5164"/>
    <w:rsid w:val="00703D3C"/>
    <w:rsid w:val="00713B0A"/>
    <w:rsid w:val="007638CB"/>
    <w:rsid w:val="007940FD"/>
    <w:rsid w:val="007A074C"/>
    <w:rsid w:val="007D4AE7"/>
    <w:rsid w:val="007E3D36"/>
    <w:rsid w:val="00806CC3"/>
    <w:rsid w:val="008078A6"/>
    <w:rsid w:val="008152E2"/>
    <w:rsid w:val="0081775A"/>
    <w:rsid w:val="0082235D"/>
    <w:rsid w:val="0082500D"/>
    <w:rsid w:val="0082547D"/>
    <w:rsid w:val="008347DC"/>
    <w:rsid w:val="00837F95"/>
    <w:rsid w:val="00867C13"/>
    <w:rsid w:val="00873675"/>
    <w:rsid w:val="00875701"/>
    <w:rsid w:val="008918B3"/>
    <w:rsid w:val="008A5DCB"/>
    <w:rsid w:val="008C095D"/>
    <w:rsid w:val="008C0F59"/>
    <w:rsid w:val="008E4DB5"/>
    <w:rsid w:val="008E695F"/>
    <w:rsid w:val="00904BE6"/>
    <w:rsid w:val="0092405A"/>
    <w:rsid w:val="00941F42"/>
    <w:rsid w:val="009A0FB9"/>
    <w:rsid w:val="009A5345"/>
    <w:rsid w:val="009C6755"/>
    <w:rsid w:val="009D03B5"/>
    <w:rsid w:val="009D20A4"/>
    <w:rsid w:val="009E1F11"/>
    <w:rsid w:val="009F0535"/>
    <w:rsid w:val="009F14FA"/>
    <w:rsid w:val="00A1031C"/>
    <w:rsid w:val="00A22951"/>
    <w:rsid w:val="00A302DE"/>
    <w:rsid w:val="00A35CB0"/>
    <w:rsid w:val="00A36C26"/>
    <w:rsid w:val="00A45FE8"/>
    <w:rsid w:val="00A63C4F"/>
    <w:rsid w:val="00A75DFE"/>
    <w:rsid w:val="00A77CED"/>
    <w:rsid w:val="00AA492C"/>
    <w:rsid w:val="00AB0F15"/>
    <w:rsid w:val="00AC0901"/>
    <w:rsid w:val="00AC14E3"/>
    <w:rsid w:val="00AC2D54"/>
    <w:rsid w:val="00AE0AB9"/>
    <w:rsid w:val="00B01BA0"/>
    <w:rsid w:val="00B05CE2"/>
    <w:rsid w:val="00B1453F"/>
    <w:rsid w:val="00B2048B"/>
    <w:rsid w:val="00B60F4D"/>
    <w:rsid w:val="00B66643"/>
    <w:rsid w:val="00B80E34"/>
    <w:rsid w:val="00BC4F63"/>
    <w:rsid w:val="00BC54B5"/>
    <w:rsid w:val="00BD1985"/>
    <w:rsid w:val="00C02829"/>
    <w:rsid w:val="00C06593"/>
    <w:rsid w:val="00C07A31"/>
    <w:rsid w:val="00C07BAF"/>
    <w:rsid w:val="00C104CA"/>
    <w:rsid w:val="00C109CE"/>
    <w:rsid w:val="00C14DB0"/>
    <w:rsid w:val="00C208DF"/>
    <w:rsid w:val="00C3253C"/>
    <w:rsid w:val="00C407DE"/>
    <w:rsid w:val="00C57739"/>
    <w:rsid w:val="00C659D0"/>
    <w:rsid w:val="00CA125B"/>
    <w:rsid w:val="00CB097F"/>
    <w:rsid w:val="00CD4C5E"/>
    <w:rsid w:val="00CE7252"/>
    <w:rsid w:val="00CE75B2"/>
    <w:rsid w:val="00CF33E5"/>
    <w:rsid w:val="00CF71D3"/>
    <w:rsid w:val="00D17734"/>
    <w:rsid w:val="00D72209"/>
    <w:rsid w:val="00D8045E"/>
    <w:rsid w:val="00D94300"/>
    <w:rsid w:val="00D94DEF"/>
    <w:rsid w:val="00D94E2C"/>
    <w:rsid w:val="00D953C0"/>
    <w:rsid w:val="00DA6A93"/>
    <w:rsid w:val="00DB3F54"/>
    <w:rsid w:val="00DB6C1A"/>
    <w:rsid w:val="00DC2C1C"/>
    <w:rsid w:val="00DC619E"/>
    <w:rsid w:val="00DD7CD2"/>
    <w:rsid w:val="00DF7452"/>
    <w:rsid w:val="00E024C4"/>
    <w:rsid w:val="00E02F24"/>
    <w:rsid w:val="00E3550A"/>
    <w:rsid w:val="00E37E08"/>
    <w:rsid w:val="00E60D39"/>
    <w:rsid w:val="00E61A3A"/>
    <w:rsid w:val="00E61E40"/>
    <w:rsid w:val="00E625FA"/>
    <w:rsid w:val="00E6746C"/>
    <w:rsid w:val="00E73AF8"/>
    <w:rsid w:val="00E9004C"/>
    <w:rsid w:val="00EB37CE"/>
    <w:rsid w:val="00EB42CB"/>
    <w:rsid w:val="00EC279A"/>
    <w:rsid w:val="00EF3BB4"/>
    <w:rsid w:val="00F05240"/>
    <w:rsid w:val="00F13FA4"/>
    <w:rsid w:val="00F16380"/>
    <w:rsid w:val="00F24758"/>
    <w:rsid w:val="00F250DF"/>
    <w:rsid w:val="00F66721"/>
    <w:rsid w:val="00F7103D"/>
    <w:rsid w:val="00F86D6B"/>
    <w:rsid w:val="00F90CBC"/>
    <w:rsid w:val="00F91E41"/>
    <w:rsid w:val="00FA27C3"/>
    <w:rsid w:val="00FB1CB8"/>
    <w:rsid w:val="00FB2B80"/>
    <w:rsid w:val="00FD0123"/>
    <w:rsid w:val="00FD4EFC"/>
    <w:rsid w:val="00FE443D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1FC0"/>
  <w15:docId w15:val="{2ADA80AA-EA21-40C3-A8C6-CE636FB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3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3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63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3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A492C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</w:rPr>
  </w:style>
  <w:style w:type="paragraph" w:styleId="a8">
    <w:name w:val="Balloon Text"/>
    <w:basedOn w:val="a"/>
    <w:link w:val="a9"/>
    <w:uiPriority w:val="99"/>
    <w:semiHidden/>
    <w:unhideWhenUsed/>
    <w:rsid w:val="00A22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95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DC61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C61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DC6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6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62825&amp;date=15.03.2024&amp;dst=100006&amp;field=134" TargetMode="External"/><Relationship Id="rId13" Type="http://schemas.openxmlformats.org/officeDocument/2006/relationships/hyperlink" Target="https://login.consultant.ru/link/?req=doc&amp;base=RLAW363&amp;n=157168&amp;date=15.03.2024&amp;dst=100006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32169&amp;date=15.03.2024&amp;dst=100005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28422&amp;date=15.03.2024&amp;dst=10000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75818&amp;date=15.03.2024&amp;dst=100005&amp;field=134" TargetMode="External"/><Relationship Id="rId10" Type="http://schemas.openxmlformats.org/officeDocument/2006/relationships/hyperlink" Target="https://login.consultant.ru/link/?req=doc&amp;base=RLAW363&amp;n=95838&amp;date=15.03.2024&amp;dst=10000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87519&amp;date=15.03.2024&amp;dst=100005&amp;field=134" TargetMode="External"/><Relationship Id="rId14" Type="http://schemas.openxmlformats.org/officeDocument/2006/relationships/hyperlink" Target="https://login.consultant.ru/link/?req=doc&amp;base=RLAW363&amp;n=173357&amp;date=15.03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CBDBE-D7A0-4110-8450-DE2A78C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prom2</dc:creator>
  <cp:keywords/>
  <dc:description/>
  <cp:lastModifiedBy>APP RT</cp:lastModifiedBy>
  <cp:revision>30</cp:revision>
  <cp:lastPrinted>2018-06-22T13:13:00Z</cp:lastPrinted>
  <dcterms:created xsi:type="dcterms:W3CDTF">2018-06-22T13:02:00Z</dcterms:created>
  <dcterms:modified xsi:type="dcterms:W3CDTF">2024-04-22T09:20:00Z</dcterms:modified>
</cp:coreProperties>
</file>